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24" w:type="dxa"/>
        <w:jc w:val="left"/>
        <w:tblInd w:w="-15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30"/>
        <w:gridCol w:w="9293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5"/>
                <w:szCs w:val="15"/>
                <w:lang w:eastAsia="cs-CZ"/>
              </w:rPr>
            </w:pPr>
            <w:r>
              <w:rPr/>
              <w:drawing>
                <wp:inline distT="0" distB="0" distL="0" distR="0">
                  <wp:extent cx="3009900" cy="6019800"/>
                  <wp:effectExtent l="0" t="0" r="0" b="0"/>
                  <wp:docPr id="1" name="imgEnLabel" descr="https://partners.gorenje.si/pi/lib/EnLabel.aspx?ident=36764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EnLabel" descr="https://partners.gorenje.si/pi/lib/EnLabel.aspx?ident=36764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01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/>
            <w:shd w:fill="auto" w:val="clear"/>
            <w:tcMar>
              <w:left w:w="300" w:type="dxa"/>
            </w:tcMar>
          </w:tcPr>
          <w:tbl>
            <w:tblPr>
              <w:tblW w:w="8904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5906"/>
              <w:gridCol w:w="2997"/>
            </w:tblGrid>
            <w:tr>
              <w:trPr/>
              <w:tc>
                <w:tcPr>
                  <w:tcW w:w="590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15"/>
                      <w:szCs w:val="15"/>
                      <w:lang w:eastAsia="cs-CZ"/>
                    </w:rPr>
                  </w:r>
                </w:p>
              </w:tc>
              <w:tc>
                <w:tcPr>
                  <w:tcW w:w="29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eastAsia="Times New Roman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/>
                    <w:drawing>
                      <wp:inline distT="0" distB="0" distL="0" distR="0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8903" w:type="dxa"/>
                  <w:gridSpan w:val="2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3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eastAsia="Times New Roman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VM631X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1,02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Spotřeba energie ve vypnutém stavu a v režimu ponechání v zapnutém stavu (Po a P1) (W)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0,45 / 0,49</w:t>
                  </w:r>
                </w:p>
              </w:tc>
            </w:tr>
            <w:tr>
              <w:trPr/>
              <w:tc>
                <w:tcPr>
                  <w:tcW w:w="8903" w:type="dxa"/>
                  <w:gridSpan w:val="2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Hlučnost (dB(A) re 1 pW)</w:t>
                  </w:r>
                </w:p>
              </w:tc>
              <w:tc>
                <w:tcPr>
                  <w:tcW w:w="2997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47</w:t>
                  </w:r>
                </w:p>
              </w:tc>
            </w:tr>
            <w:tr>
              <w:trPr/>
              <w:tc>
                <w:tcPr>
                  <w:tcW w:w="5906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29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cs-CZ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Arial" w:ascii="Arial" w:hAnsi="Arial"/>
                <w:color w:val="000000"/>
                <w:sz w:val="15"/>
                <w:szCs w:val="15"/>
                <w:lang w:eastAsia="cs-CZ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6de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6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 LibreOffice_project/2b9802c1994aa0b7dc6079e128979269cf95bc78</Application>
  <Paragraphs>1</Paragraphs>
  <Company>MORA MORAVIA,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2014-10-10T06:03:00Z</dcterms:created>
  <dc:creator>Ladislav Foret</dc:creator>
  <dc:language>cs-CZ</dc:language>
  <cp:lastModifiedBy>Ladislav Foret</cp:lastModifiedBy>
  <dcterms:modified xsi:type="dcterms:W3CDTF">2014-10-10T06:04:00Z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 MORAVIA,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